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Северная Осетия – Алания от 23.07.2019 в удовлетворении заявленных требований отказано. Постановлением Шестнадцатого арбитражного апелляционного суда от 28.10.2019, оставленным без изменения постановлением Арбитражного суда Северо-Кавказского округа от 10.02.2020, решение суда первой инстанции отменено, требования общества удовлетворены. В кассационной жалобе, поданной в Верховный Суд Российской Федерации, управление просит отменить судебные акты судов апелляционной инстанции и округа, ссылаясь на существенное нарушение норм права, и в удовлетворении заявления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и ИП ФИО1 (далее – предприниматель) заключен договор на поставку горючего природного газа. Предприниматель обратился в антимонопольный орган с жалобой на действия общества, связанные с незаконным начислением суммы платежей за поставленный газ по мощности газоиспользующего оборудования. Решением управления общество признано нарушившим часть 1 статьи 10 Федерального закона от 26.07.2006 № 135-ФЗ «О защите конкуренции» (далее – Закон о защите конкуренции), что выразилось в злоупотреблении доминирующим положением путем начисления за поставленный в период с 01.07.2018 по 22.07.2018 объем газа по мощности газопотребляющих установок предпринимателя при наличии исправного узла учета газа. В целях устранения нарушения выдано предписание. Признавая ненормативные акты незаконными, суд апелляционной инстанции, руководствуясь положениями статьи 10 Закона о защите конкуренции, разъяснениями, изложенными в пунктах 4, 5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пришел к выводу о том, что возникшие между обществом и предпринимателем разногласия относительно расчетов за оказываемые услуги по поставке газа являются гражданско-правовым спором хозяйствующих субъектов, разрешение которого к полномочиям антимонопольного органа не отнесено. Вместе с тем апелляционным судов отмечено, что вменяемое обществу нарушение в области расчетов за потребленный газ (неправомерное начисление задолженности в связи с применением метода расчета по проектной мощности газопотребляющего оборудования) не подпадает под признаки злоупотребления доминирующим положением, запрет на которое предусмотрен статьей 10 Закона о защите конкуренции, поскольку не свидетельствует о направленности действий общества на сохранение либо укрепление своего положения на товарном рынке с использованием запрещенных методов, негативно воздействующих на конкурентную среду и наносящих ущерб контрагентам. Суд округа поддержал выводы суда апелляционной инстанции.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дела,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Северная Осетия – Алания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"Газпром межрегионгаз Владикавказ" (подробнее) Ответчики: УФАС РФ по РСО-Алания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