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20.06.2019, оставленным без изменения постановлением Восьмого арбитражного апелляционного суда от 03.09.2019 и постановлением Арбитражного суда Западно-Сибирского округа от 18.12.2019, в удовлетворении заявленного требования отказано. В кассационной жалобе, поданной в Верховный Суд Российской Федерации, товарищество,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жилищной инспекцией проведена внеплановая документарная проверка деятельности товарищества при управлении многоквартирным домом (далее - МКД) и выявлено нецелевое использование средств фонда капитального ремонта в размере 325 681 рубля 83 копеек, в связи с тем, что указанные денежные средства использованы товариществом на выполнение работ, не предусмотренных Региональной программой капитального ремонта общего имущества в МКД Тюменской области на 2015 - 2044 годы, утвержденной распоряжением Правительства Тюменской области от 15.12.2014 № 2224-рп. По результатам проверки жилищной инспекцией выдано предписание, которым на товарищество возложена обязанность обеспечить восстановление денежных средств фонда капитального ремонта, сформированного на специальном счете в сумме 325 681 рубля 83 копеек, использованных не на цели капитального ремонта. Не согласившись с предписанием жилищной инспекции, товарищество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статей 44 , 135 , 138 , 166 , 170 , 174 189 Жилищного кодекса Российской Федерации (далее - Жилищный кодекс),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ГОСТ Р 56535-2015, утвержденным постановлением Госстроя Российской Федерации от 27.09.2003 № 170, пришли к выводу о том, что оспариваемое предписание соответствует положениям законодательства и не нарушает права и законные интересы заявителя, с чем согласился суд округа. Судебные инстанции исходили из того, что демонтаж и замена покрытия полов и ступеней крыльца из керамической плитки на новое качественное покрытие, а также замена перил входной группы составляют менее 30% объема работ фасада, в связи с чем не являются капитальным ремонтом, что исключает финансирование за счет фонда капитального ремонта. Вопреки доводам жалобы, судом апелляционной инстанции не установлено оснований для назначения судебной экспертизы. Иные доводы товарищества являлись предметом рассмотрения судов и им дана надлежащая правовая оценка. Приведенные заявителем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настоящего спора,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«Тычковка»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ТСЖ "Тычковка" (подробнее) Ответчики: Государственная Жилищная инспекция Тюменской области (подробнее) Судьи дела: Антонова М.К. (судья) (подробнее) Судебная практика по: Капитальный ремонт Судебная практика по применению норм ст. 166, 167, 168, 169 ЖК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