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об утверждении Положения о порядке, сроках и условиях продажи имущества должника (далее – положение). Определением Арбитражного суда города Москвы от 12.07.2019, оставленным без изменения постановлением Девятого арбитражного апелляционного суда от 09.10.2019, утверждено положение в предложенной конкурсным управляющим редакции, за исключением пункта A раздела II указанного положения в отношении залогового имущества. Постановлением Арбитражного суда Московского округа от 24.12.2019 вышеуказанные судебные акты в части утверждения начальной продажной цены движимого имущества отменены, в отменённой части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судебные акты и направляя в отменённой части обособленный спор на новое рассмотрение, суд округа, руководствуясь статьями 2, 129, 130, 139 Федерального закона от 26.10.2002 № 127-ФЗ «О несостоятельности (банкротстве)», исходил из того, что они вынесены при неправильном распределении бремени доказывания стоимости имущества должника, без полного исследования всех доказательств и фактических обстоятельств, имеющих существенное значение для правильного разрешения спора, а также вне проверки приводимых кредитором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в обжалуемой части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открытым акционерным обществом «Зарубежводстрой»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ГУ Республиканское Управление государственных доходов по Аральскому району "" (подробнее) ЗАО "Мобильное проектно-строительное объединение "Шахтоспецстрой" (подробнее) ИФНС №14 ПО Г. МОСКВЕ (подробнее) ИФНС России №45 по г.Москве (подробнее) Межрайонная ИФНС России №45 по г.Москве (подробнее) МКУ Управление строительства (подробнее) ООО Кб "интеркоммерцбанк" (подробнее) ООО "Крымсгорстрой" (подробнее) Ответчики: ОАО "Зарубежводстрой" (подробнее) ООО КБ "Интеркоммерцбанк" в лице ГК "АСВ" (подробнее) Иные лица: Ассоциация МСРО "Содействие" (подробнее) А/У Мамонтов В.Н (подробнее) в/у Борисенко В.В. (подробнее) ГК "Внешэкономбанк" (подробнее) ГУ МВД России по Москве (подробнее) к/у Уточенко Н.М. (подробнее) УТОЧЕНКО НИКИТА МИХАЙЛОВИЧ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