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Москвы с иском к государственному бюджетному учреждению города Москвы «Жилищник Мещанского района» (далее – Учреждение) о взыскании 724 972 рублей 88 копеек неосновательного обогащения в виде переплаты за содержание и ремонт общего имущества за период с 01.03.2018 по 31.05.2019. Решением Арбитражного суда города Москвы от 04.09.2019, оставленным без изменения постановлением Арбитражного суда Московского округа от 19.02.2020, исковые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права. В обоснование доводов жалобы заявитель указывает, что расчет истца относительно расходов на содержание общего имущества в многоквартирном доме осуществлен без учета тарифа, установленного органом государственной власти субъекта Российской Федерации.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Предпринимателем и Учреждением заключён договор от 01.03.2016 № 2111/2 на оказание коммунальных и эксплуатационных услуг, в соответствии с которым ответчик обеспечивает оказание, а истец потребляет и оплачивает коммунальные и эксплуатационные услуги в отношении помещения площадью 2661,8 кв.м. (с 01.03.2018), расположенного по адресу &lt;...&gt;, принадлежащего истцу на праве собственности. Полагая, что за период с 01.03.2018 по 31.05.2019 Учреждение неправомерно рассчитывало стоимость оказанных услуг по общедомовому имуществу без учета доли в праве общей собственности на общее имуществ,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244 , 249 , 1102 Гражданского кодекса Российской Федерации, статьями 37 , 39 , 158 Жилищного кодекса Российской Федерации, суды удовлетворили заявленные требования, установив наличие у Учреждения переплаты, учитывая , что размер платы за содержание и ремонт общего имущества определяется долей в праве общей собственности на общее имущество, которая пропорциональна, а не равна размеру общей площади.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бюджетного учреждения города Москвы «Жилищник Мещанского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ГОСУДАРСТВЕННОЕ БЮДЖЕТНОЕ УЧРЕЖДЕНИЕ ГОРОДА МОСКВЫ "ЖИЛИЩНИК МЕЩАНСКОГО РАЙОНА"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Общая собственность, определение долей в общей собственности, раздел имущества в гражданском браке Судебная практика по применению норм ст. 244, 245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