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19.08.2019, оставленным без изменения постановлением Семнадцатого арбитражного апелляционного суда от 25.10.2019 и постановлением Арбитражного суда Уральского округа от 24.01.2020,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182 , 309 , 310 , 432 , 434 , 438 , 457 , 487 , 1102 Гражданского кодекса Российской Федерации, суды первой и апелляционной инстанций, с которыми согласился суд округа, пришли к выводу об отсутствии оснований для удовлетворения исковых требований, исходя из подтвержденности факта поставки компанией оплаченного обществом товара и его передачи уполномоченным представителям последнего. Довод заявителя об отсутствии аудиозаписи судебных заседаний суда первой инстанции противоречит содержанию картотеки арбитражных дел сайта http://kad.arbitr.ru, размещенной в сети Интернет, в которой опубликованы соответствующие аудиозаписи. Ссылка общества на отсутствие аудиозаписи судебного заседания суда округа также подлежит отклонению, поскольку противоречит главе 35 Арбитражного процессуального кодекса Российской Федерации и разъяснениям, содержащимися в абзаце 2 пункта 17 постановления Пленума Высшего Арбитражного Суда Российской Федерации от 17.12.2011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Федерации». Иные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«Промышленный перлит»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ПРОМЫШЛЕННЫЙ ПЕРЛИТ (подробнее) Ответчики: ООО "Аверс"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