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ФИО2 обратился в суд с заявлением о привлечении руководителя должника ФИО1 к субсидиарной ответственности и взыскании с него 24 481 030 рублей 56 копеек. Определением Арбитражного суда города Москвы от 27.06.2019, оставленным без изменения постановлениями Девятого арбитражного апелляционного суда от 04.09.2019 и Арбитражного суда Московского округа от 24.12.2019, признано доказанным наличие оснований для привлечения заявителя к субсидиарной ответственности; производство по заявлению приостановлено до окончания расчётов с кредиторами и формирования конкурсной массы.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61.11, 61.13,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указали на наличие совокупности условий для привлечения заявителя к субсидиарной ответственности ввиду неисполнения им без уважительных причин своей обязанности по передаче конкурсному управляющему активов и документации должника, что воспрепятствовало анализу совершенных последним сделок, выявлению среди них сомнительных, работе по взысканию дебиторской задолженности, и, как следствие, формированию конкурсной массы и проведению расчётов с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Воронежсинтезкаучук (подробнее) ИФНС РОССИИ №18 ПО Г. МОСКВЕ (подробнее) Ответчики: ООО Перспектива (подробнее) Иные лица: Временный упр. Деменков Ю.М. (подробнее) ГУ МВД (подробнее) МЦПУ (подробнее) НП СРО "МЦПУ"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