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«МТС-БАНК» (далее – банк) обратилось в суд с заявлением о включении в реестр требований кредиторов должника 3 042 244 рублей 22 копеек задолженности и 28 196 рублей 82 копеек процентов за пользование кредитом, обеспеченных залогом имущества должника – жилым помещением, расположенным по адресу: &lt;...&gt;, общей площадью 53,3 кв. м, в том числе жилой 29,2 кв.м. Определением Арбитражного суда Хабаровского края от 10.07.2019 заявление удовлетворено в части включения заявленных требований в третью очередь реестра, в остальной части в удовлетворении заявления отказано. Постановлением Шестого арбитражного апелляционного суда от 15.10.2019, оставленным без изменения постановлением Арбитражного суда Дальневосточного округа от 19.12.2019, вышеуказанное определение суда первой инстанции в обжалуемой части отменено, соответствующие требования банка включены в реестр требований кредиторов как обеспеченные залогом имуществом должника.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признавая требования обеспеченными залогом имущества должника, апелляционный суд руководствовался статьями 329 , 334 , 348 , 352 Гражданского кодекса Российской Федерации, статьями 18.1, 131, 138, 213.25 Федерального закона от 26.10.2002 № 127-ФЗ «О несостоятельности (банкротстве)» и исходил из фактических обстоятельств, связанных с возникновением у банка в установленном порядке статуса залогодержателя, недоказанностью выбытия залогового имущества или прекращения права залога, влекущих исключение жилого помещения из конкурсной массы.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