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10.06.2019, оставленным без изменения постановлением Пятого арбитражного апелляционного суда от 21.08.2019, в удовлетворении первоначального иска отказано, встречный иск удовлетворен. Арбитражный суд Дальневосточного округа постановлением от 28.11.2019 решение от 10.06.2019 и постановление Пятого арбитражного апелляционного суда от 21.08.2019 оставил без изменения. В кассационной жалобе общество «Сахалин-Шельф-Сервис» просит об отмене судебных актов вследствие неверного толкования условий договора и необоснованного признания отсутствия нарушения договора ответчиком.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толкования договора (статья 431 Гражданского кодекса Российской Федерации) и установления обстоятельств, составляющих условия для взыскания убытков вследствие ненадлежащего исполнения договора (статьи 15, 393 Гражданского кодекса Российской Федерации), разрешены судами первой и апелляционной инстанций, к компетенции которых они отнесены. Требуемая в жалобе переоценка установленных обстоятельств не составляет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«Совместное предприятие «Сахалин-Шельф-Сервис»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