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Астраханской области от 21.06.2019, оставленным без изменения постановлением Двенадцатого арбитражного апелляционного суда от 06.09.2019 и постановлением Арбитражного суда Поволжского округа от 24.12.2019, в удовлетворении требований отказано. 2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решением начальника инспекции от 24.12.2018 № 16 назначена выездная налоговая проверка предпринимателя по вопросам правильности исчисления и своевременности уплаты (удержания, перечисления) в бюджет налогов и сборов за период с 01.01.2015 по 31.12.2017. Должностным лицом налогового органа 25.12.2018 вынесено постановление № 2 о производстве выемки, изъятия документов и предметов. По результатам указанной выемки составлен протокол от 25.12.2018 № 16/1 и опись изъятых документов. Не согласившись с указанными актами и действиями инспекции, заявитель обратился в арбитражный суд. Отказывая в удовлетворении заявления, суды первой и апелляционной инстанций, исследовав и оценив представленные в материалы дела доказательства, руководствуясь положениями статей 31, 89, 94, 98 Налогового кодекса Российской Федерации, пришли к выводу о законности действий инспекции, а также вынесенных актов налогового органа, с чем согласился суд округа. Судебные инстанции установили, что решение о проведении проверки, равно как и уведомление о необходимости обеспечения ознакомления с документами, связанными с исчислением и уплатой налогов были направлены предпринимателю и ею получены. Вопреки доводам заявителя, суды указали на наличие у налогового органа причин для проведения выемки с целью эффективного осуществления налогового контроля. При необходимости не исключалась возможность применения принципа внезапности с учетом наличия информации о том, что 3 группа налогоплательщиков, действующих, как единый хозяйствующий субъект, в число которых входит предприниматель, используют схему «дробления бизнеса» для сохранения права применения специальных режимов налогообложения, что позволяет существенно снизить налоговую нагрузку налогоплательщиков. Нарушений норм налогового законодательства при производстве выемки судами не установлено. Доводы заявителя,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материального и норм процессуального права, повлиявших на исход дела. Указанные доводы повторяют позицию заявителя по спору,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Шахабасовой Зулфие Умарасхабовне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