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05.06.2019 в удовлетворении иска отказано. Постановлением Семнадцатого арбитражного апелляционного суда от 29.08.2019, оставленным без изменения постановлением Арбитражного суда Уральского округа от 06.12.2019, решение отменено, договор расторгнут. В кассационной жалобе общество просит о пересмотре постановлений апелляционного и окружного судов, ссылаясь на неисполнение истцом встречного обязательства по внесению предварительного платежа, являющейся первоочередной по отношению к поставке.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содержание прав и обязанностей сторон по договору, апелляционный суд установил согласованную привязку поставки не к предварительному платежу, а к дате заключения договора и нарушение этого условия обществом. Нарушение договора признано существенным исходя из предмета и целей договора и в соответствии со статьями 432 , 450 , 452 , 506 , 523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«Трансметаллгрупп»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"НАУЧНО-ПРОИЗВОДСТВЕННАЯ КОРПОРАЦИЯ "УРАЛВАГОНЗАВОД" ИМЕНИ Ф.Э. ДЗЕРЖИНСКОГО" (подробнее) Ответчики: ООО "ТРАНСМЕТАЛЛГРУПП" (подробнее) Судьи дела: Ксенофонтова Н.А. (судья) (подробнее) Судебная практика по: Признание договора незаключенным Судебная практика по применению нормы ст. 432 ГК РФ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