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 города Москвы от 28.05.2019, оставленным без изменения постановлением Девятого арбитражного апелляционного суда от 13.09.2019, в удовлетворении иска отказано. Арбитражный суд Московского округа постановлением от 25.12.2019 решение от 28.05.2019 и постановление Девятого арбитражного апелляционного суда от 13.09.2019 оставил без изменения. В кассационной жалобе общество «Свитком» просит об отмене судебных актов, ссылаясь на незаконное толкование основания для применения спорной комиссии и игнорирование довода о недобросовестных действиях банка.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установлено, что удержанная в спорной сумме комиссия предусмотрена договором комплексного банковского обслуживания от 07.02.2018 и применена за нарушение обществом «Свитком» договора и требований банка, основанных на нормах Федерального закона от 07.08.2001 № 115-ФЗ «О противодействии легализации (отмыванию) доходов, полученных преступным путем, и финансированию терроризма». В такой ситуации удержанная сумма правомерно признана судами не обладающей признаками неосновательного обогащения.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«Свитком»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"Свитком" (подробнее) Ответчики: ПАО Приволжский филиал Операционный офис Чебоксарский Промсвязьбанк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