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06.05.2019, оставленным без изменения постановлением Девятого арбитражного апелляционного суда от 31.07.2019 и постановлением Арбитражного суда Московского округа от 05.12.2019, в удовлетворении исков отказано. В кассационной жалобе общество просит об отмене судебных актов в отношении его иска, ссылаясь на незаконность отказа в оплате принятых работ.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Судебные акты основаны на обстоятельствах исполнения государственного контракта от 24.12.2012 № 1345/ЗА/2012/ДРГЗ и соответствуют его условиям и статьям 715, 723 Гражданского кодекса Российской Федерации. Отличная от судебной оценка заявителем обстоятельств исполнения контракта и применимых к ним последствий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«Воентелеком»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