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публичное акционерное общество «ТНС энерго Нижний Новгород» обратился в суд с заявлением о признании недействительными договора подряда от 23.12.2016 № 12/5, заключенного должником и обществом с ограниченной ответственностью «Водоканал Кстовского района» (далее – общество), а также сделок по перечислению должником на расчётный счёт общества в 2017 и 2018 годах денежных средств в сумме 264 178 102 рублей 98 копеек в качестве оплаты по договору подряда; применении последствий недействительности сделок. Определением Арбитражного суда Нижегородской области от 18.06.2019, оставленным без изменения постановлениями Первого арбитражного апелляционного суда от 12.09.2019 и Арбитражного суда Волго-Вятского округа от 30.12.2019,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170, 168 Гражданского кодекса Российской Федерации, статьями 61.1, 61.3, 129, 134 Федерального закона от 26.10.2002 № 127-ФЗ «О несостоятельности (банкротстве)», исходили из ничтожности совершенного заинтересованными лицами договора подряда с целью причинения вреда и со злоупотреблением правом,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Терентьевой Светлане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