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10.06.2019, оставленным без изменения постановлением Девятого арбитражного апелляционного суда от 23.09.2019 и постановлением Арбитражного суда Московского округа от 05.12.2019, в удовлетворении иска отказано за недоказанностью. В кассационной жалобе общество просит об отмене судебных актов, ссылаясь на неправильное определение момента прекращения договора и игнорирование его абонентского характера.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Момент прекращения договора от 26.12.2018 № 261218/3 и его квалификация не оказывают влияния на итог рассмотрения дела, поскольку суды признали недоказанность услуг, на оказание которых общество ссылалось как на основание иска.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«Юлтрекс»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ЮЛТРЕКС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