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Сачев И.М. обратился в суд с заявлением о признании недействительной сделкой перечисление должником в пользу Плещевой М.А. денежных средств в размере 9 776 500 рублей, и о применении последствий недействительности сделки в виде взыскания с ответчика в конкурсную массу должника указанной суммы. Определением Арбитражного суда Свердловской области от 14.08.2019, оставленным без изменения постановлениями Семнадцатого арбитражного апелляционного суда от 31.10.2019 и Арбитражного суда Уральского округа от 04.02.2020, требования удовлетворены. Не согласившись с названными судебными актами, Плещева М.А. обратилась в Верховный Суд Российской Федерации с кассационной жалобой, впоследствии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банкротства, а так же приводит довод о том, что приостановление исполнения указанных судебных актов не повлияет на баланс интересов участвующих в настоящем деле лиц.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Плещевой Марианны Анатольевны о приостановлении исполнения определения Арбитражного суда Свердловской области от 14.08.2019 по делу № А60-13517/2018, оставленным без изменения постановлением Семнадцатого арбитражного апелляционного суда от 31.10.2019 и постановлением Арбитражного суда Уральского округа от 04.02.2020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