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11.09.2019, оставленным без изменения постановлением Девятого арбитражного апелляционного суда от 08.11.2019 и постановлением Арбитражного суда Московского округа от 11.02.2020,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камеральная налоговая проверка представленной обществом уточненной налоговой декларации за 2017 год, в ходе которой установлено неправомерное исчисление налогооблагаемой базы исходя из кадастровой стоимости недвижимого имущества, утвержденной постановлением Правительства Москвы от 21.11.2014 № 688, за вычетом налога на добавленную стоимость по ставке 18/118 процентов. Данные обстоятельства послужили основанием для принятия налоговым органом решения об отказе в привлечении к ответственности за совершение налогового правонарушения и доначислении к уплате в бюджет 279 527 рублей налога на имущество. Считая решение незаконным, общество обратилось в арбитражный суд. Оценив представленные в материалы дела доказательства, суды, руководствуясь положениями статей 21 , 373 , 374 , 378.2 Налогового кодекса Российской Федерации, статей 3, 24.17, 24.18, 24.20 Федерального закона от 29.07.1998 № 135-ФЗ «Об оценочной деятельности в Российской Федерации», Законом города Москвы от 05.11.2003г. № 64 «О налоге на имущество организаций», пришли к выводу о законности оспоренного решения ввиду правомерного исчисления инспекцией налога на имущество исходя из кадастровой стоимости, установленной уполномоченным органом и внесенной в Единый государственный реестр недвижимости (далее – ЕГРН). Судебные инстанции указали, что для целей налогообложения стоимости имущества применению подлежат сведения о кадастровой стоимости, отраженные в ЕГРН, при условии их внесения без технической ошибки. При этом оценка законности и обоснованности включения или не включения суммы налога на добавленную стоимость в указанную в ЕГРН кадастровую стоимость объекта недвижимости для целей налогообложения по налогу на имущество осуществляется за рамками оспаривания решения налогового органа. Доводы, изложенные в кассационной жалобе, в том числе со ссылками на иную судебную практику, повторяют позицию общества по спору, являлись предметом рассмотрения судов, не опровергают их выводы и не подтверждают существенного нарушения норм материального и процессуального права, повлиявших на исход дела, по сути, выражают несогласие с выводами судов ввиду иного применения положений законодательства к установленным обстоятельствам спора,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«Коптевский рынок»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"Коптевский рынок" (подробнее) Ответчики: Инспекция Федеральной налоговой службы №43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