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(кредитор по текущим обязательствам пятой очереди), обратилось в суд с жалобой на действия конкурсного управляющего Тушкова Сергея Георгиевича, выразившиеся в: перечислении денежных средств в качестве возврата займов в пользу обществ с ограниченной ответственностью «МайнингСибири», «СибЭкспертСервис» и «СибШахтМонтаж» в общей сумме 53 792 000 рублей с нарушением очерёдности, установленной статьёй 134 Федерального закона «О несостоятельности (банкротстве)» (далее – Закон о банкротстве); погашении задолженности перед кредиторами по текущим платежам первой – четвёртой очередей с календарной очередностью погашения после 25.09.2018 в общей сумме 1 003 127 рублей 37 копеек за счёт средств, поступивших от общества с ограниченной ответственностью «Шахта Сибирская». Заявитель также просил взыскать с конкурсного управляющего в пользу должника в возмещение причиненных незаконными действиями убытков 28 999 299 рублей 69 копеек. Определением Арбитражного суда Кемеровской области от 19.07.2019, оставленным без изменения постановлениями Седьмого арбитражного апелляционного суда от 16.10.2019 и Арбитражного суда Западно-Сибирского округа от 20.01.2020, в удовлетворении заявленных требований отказано. 2 В кассационной жалобе, поданной в Верховный Суд Российской Федерации, заявитель просит отменить судебные акты и принять по делу новый судебный акт об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статьёй 313 Гражданского кодекса Российской Федерации, статьями 20.3, 60, 134 Закона о банкротстве, пунктами 6, 7 постановления Пленума Высшего Арбитражного Суда Российской Федерации от 17.12.2009 № 91 «О порядке погашения расходов по делу о банкротстве», исходили из недоказанности наличия в оспариваемых действиях конкурсного управляющего, не допустившего нарушения календарной очерёдности текущих обязательств должника, вменяемых ему нарушений законодательства о несостоятельности, прав и законных интересов заявителя, в том числе взыскания убытков в заявленном размере.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«Сервисные технологии»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