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21.06.2019, оставленным без изменения постановлениями Тринадцатого арбитражного апелляционного суда от 05.09.2019 и Арбитражного суда Северо-Западного округа от 18.12.2019, в удовлетворении требований, объединенных в одно производство, отказано. 2 В жалобе администрация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ООО «УК «Сестрорецк» на неправомерные действия администрации при проведении открытого конкурса по отбору управляющей организации на право заключения договора управления многоквартирным домом (далее - МКД), выразившиеся в отсутствии у нее правовых оснований для проведения конкурса, антимонопольным органом принято решение. Управлением жалоба ООО «УК «Сестрорецк» признана обоснованной, в действиях администрации признано нарушение пунктов 3, 39 Правил проведения органом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Российской Федерации от 06.02.2006 № 75 (далее – Правила № 75). Предписанием управления на организатора торгов возложена обязанность аннулировать конкурс на право заключения договора управления МКД. Считая ненормативные акты антимонопольного органа незаконными, администрация и ООО «Жилстройсервис» обратились в арбитражный суд. Отказывая в удовлетворении заявленных требований,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статей 161, 162 Жилищного кодекса Российской Федерации, Правилами № 75, пришли к выводу о законности ненормативных актов с учетом установленных по делу обстоятельств. Судебные инстанции исходили из того, что собственники помещений в МКД выбрали способ его управления и управляющую организацию – ООО «УК «Сестрорецк», а также реализовали свое решение путем заключения соответствующих договоров, о чем администрация была своевременно уведомлена, в связи с чем отсутствовали основания для продолжения 3 проведения конкурса по отбору управляющей организации на право управления МКД. При этом суды отметили, что протокол собрания № 1 от 22.01.2019 не оспаривался, в установленном законом порядке недействительным не признан. Обстоятельства данного спора и представленные доказательства были предметом рассмотрения и оценки судов. При указанных обстоятельствах доводы администрации относительно выводов судов не свидетельствуют о неправильном применении ими норм материального и процессуального права, повлиявшем на исход дела или допущенной судебной ошибке. Доводы, изложенные в кассационной жалобе, являлись предметом рассмотрения судов, основаны на несогласии с выводами судов по фактическим обстоятельствам дела и неправильном толковании применительно к ним положений законодательства, что не может служить основанием для отмены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Красносельского района Санкт-Петербурга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