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17.04.2019, оставленным без изменения постановлением Тринадцатого арбитражного апелляционного суда от 15.08.2019 и постановлением Арбитражного суда Северо-Западного округа от 04.12.2019, иск удовлетворен частично: с ответчика взыскано 6 340 756 рублей 68 копеек убытков. В кассационной жалобе общество «АтомТехЭнергоМаш» просит о пересмотре судебных актов, ссылаясь на применение для определения убытков несогласованной методики, неразграничение реальных убытков и упущенной выгоды, игнорирование обоюдной вины сторон и документальной неподтвержденности убытков.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Обстоятельства, составляющие необходимые в силу статей 15 , 393 Гражданского кодекса Российской Федерации условия для взыскания убытков вследствие ненадлежащего исполнения договора, установлены судами первой и апелляционной инстанций в соответствии с компетенцией и не подлежат пересмотру на стадии кассационного производства.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«АтомТехЭнергоМаш»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АО "АЭМ - технологии" (подробнее) Ответчики: ООО "АТОМТЕХЭНЕРГОМАШ" (подробнее) Судьи дела: Ксенофонтова Н.А.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