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24.06.2019, оставленным без изменения постановлением Десятого арбитражного апелляционного суда от 29.08.2019, взыскано 6 399 450 рублей страхового возмещения, 264 130 рублей 72 копейки процентов за пользование чужими денежными средствами период с 28.11.2018 по 10.06.2019 с последующим начислением на сумму взысканного страхового возмещения из расчета действующей ключевой ставки Центрального Банка Российской Федерации на день фактической оплаты. 2 Арбитражный суд Московского округа постановлением от 09.12.2019 решение от 24.06.2019 и постановление Десятого арбитражного апелляционного суда от 29.08.2019 оставил без изменения. В кассационной жалобе и дополнении к ней общество «Мебель-Арт» просит об отмене судебных актов, ссылаясь на лишение возможности опровержения со ссылкой на доказательства, подтверждающие существенные для дела обстоятельства, положенных в основу судебных актов выводов экспертизы вследствие отсутствия таких доказательств в деле к моменту принятия судебных актов по причине утраты.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решения суда первой инстанции следует, что все доказательства были объектом судебного и экспертного изучения и оценены судом в совокупности с действиями и выводами экспертов. Экспертное заключение признано надлежащим доказательством в пределах компетенции судом первой инстанции с учетом возражений общества «Мебель-Арт», изложенных и оцененных судом. Спорным при рассмотрении дела явился вопрос о размере убытков, разрешенный судом первой инстанции, и не создающий оснований для кассационного пересмотра судебных актов. Приведенные в жалобе доводы рассмотрены апелляционным и окружным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«Мебель-Арт»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