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21.05.2019, оставленным без изменения постановлением Одиннадцатого арбитражного апелляционного суда от 22.08.2019, в удовлетворении иска отказано. Арбитражный суд Поволжского округа постановлением от 05.12.2019 решение от 21.05.2019 и постановление Одиннадцатого арбитражного апелляционного суда от 22.08.2019 оставил без изменения. В кассационной жалобе страховая группа просит об отмене судебных актов, ссылаясь на неправомерность квалификации заявленной суммы в качестве неосновательного обогащения, признания ответчика слабой стороной правоотношений и отсутствия у него самостоятельной обязанности по уплате второй части страховой премии в случае непоступления средств господдержки.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усмотрели нарушение страховой группой пределов осуществления прав при исполнении договора сельскохозяйственного страхования с государственной поддержкой от 02.06.2016 № СХУ26-ГО/16. Оснований для вмешательства в компетенцию судов на применение статьи 10 Гражданского кодекса Российской Федерации на стадии кассационного производства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