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04.06.2019 заявленное требование удовлетворено. Постановлением Восьмого арбитражного апелляционного суда от 03.09.2019, оставленным без изменения постановлением Арбитражного суда Западно-Сибирского округа от 18.12.2019, решение суда первой инстанции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апелляционного суда и суда округа, оставить в силе решение суда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общество осуществляет обязанности по управлению многоквартирным домом (далее - МКД). С целью рассмотрения поступившего обращения жилищной инспекцией в отношении общества проведена внеплановая выездная проверка, в ходе которой установлено наличие сухих следов протечек на потолке паркинга и частичное отслоение штукатурного и окрасочного слоев стен паркинга. Выявленные обстоятельства послужили основанием для выдачи обществу предписания об устранении нарушений лицензионных требований, с возложением обязанности по установлению причин протечек в паркинге, принятию мер по их устранению и выполнению ремонта стен и потолка паркинга. Не согласившись с предписанием жилищной инспекции, общество обратилось в арбитражный суд. Удовлетворяя заявленное требование, суд первой инстанций пришел к выводу, что нежилое помещение (паркинг) не является частью общего имущества данного многоквартирного дома. Отменяя решение суда и отказывая в удовлетворении заявления, суд апелляционной инстанции, оценив представленные доказательства, руководствуясь положениями статей 36, 161, 162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Правилами содержания общего имущества в многоквартирном доме, утвержденными постановлением Правительства Российской Федерации от 13.08.2006 № 491, пришел к выводу, что оспариваемое предписание соответствует положениям законодательства и не нарушает права и законные интересы заявителя, с чем согласился суд округа. 3 Судебные инстанции исходили из того, спорное нежилое помещение (подземный паркинг) конструктивно связано с МКД и является частью соответствующего жилого комплекса. Суды установили, что технический паспорт нежилого помещения, составленный 11.03.2008, позволяет определить его площадь, расположение (подвал), характер и назначение, место расположения подземного нежилого помещения (стоянки) частично совпадает с местом надземного расположения МКД. Кроме того, условиями пункта 1.5 договора от 01.07.2009 передачи МКД на управление эксплуатацией и содержанием общего имущества предусмотрено, что в состав общего имущества дома, переданного в управление заявителю, входят, в том числе построенные за счет средств собственников помещений встроенные гаражи и площадки для автомобильного транспорта. Доводы жалобы являлись предметом рассмотрения судов апелляционной инстанции и округа, им дана надлежащая правовая оценка. Приведенные заявителем доводы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настоящего спора и основаны на ином толковании применительно к ним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«Жилищный фонд»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