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15.07.2019, оставленным без изменения постановлением постановление Третьего арбитражного апелляционного суда от 25.09.2019 и постановлением Арбитражного суда Восточно-Сибирского округа от 02.12.2019, первоначальный иск удовлетворен, в удовлетворении встречного иска отказано. В кассационной жалобе общество «Энергия Сибири» просит о пересмотре судебных актов, ссылаясь на отсутствие фактических поставки и оказания услуг.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неоказании услуг и непередаче товара опровергается установленными судами обстоятельствами обратного, требуемая переоценка которых не составляет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«Энергия Сибири»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