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Акционерный коммерческий банк «Инвестторгбанк» (далее – кредитор) обратилось в суд с заявлением о процессуальном правопреемстве и замене себя на общество с ограниченной ответственностью «Экоэнерготех» в размере 240 000 000 рублей. Определением Арбитражного суда города Москвы от 05.07.2019, оставленным без изменения постановлениями Девятого арбитражного апелляционного суда от 14.10.2019 и Арбитражного суда Московского округа от 29.01.2020, заявление о процессуальном правопреемстве удовлетворено. В кассационной жалобе, поданной в Верховный Суд Российской Федерации, заявитель просит отменить указанные судебные акты и принять по спору новый судебный акт об отказе в процессуальном правопреемстве.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48 Арбитражного процессуального кодекса Российской Федерации, статьями 382, 384 Гражданского кодекса Российской Федерации, исходили из наличия оснований для осуществления замены кредитора по настоящему обособленному спору на лицо, фактически оплатившее право требования денежного обязательства к должнику при отсутствии доказательств злоупотребления правом и намерений причинить вред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«Активити»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