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21.02.2019, оставленным без изменения постановлением Тринадцатого арбитражного апелляционного суда от 07.08.2019, иск удовлетворен. Арбитражный суд Северо-Западного округа постановлением от 24.12.2019 решение от 21.02.2019 и постановление Тринадцатого арбитражного апелляционного суда от 21.02.2019 оставил без изменения. В кассационной жалобе страховая компания просит об отмене судебных актов, ссылаясь на включение в состав убытков не охватываемых страхованием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Размер подлежащих возмещению на основании договора страхования от 08.07.2014 № СД-04681 убытков установлен судами на основании представленных доказательств, включающих в том числе допуск к работам, ответственность вследствие производства которых застрахована. Расходы на экспертизу понесены в целях восстановления нарушенного права и в силу статьи 15 Гражданского кодекса Российской Федерации включены судами в состав реального ущерба. Отличная от судебной оценка обстоятельств спора, связанных с размером и составом убытков,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«Экспресс-страхование»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"ЦЕППЕЛИН. ФАСИЛИТИ МЕНЕДЖМЕНТ" (подробнее) Ответчики: ООО "СК "Экспресс-страхование"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