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19.04.2019, оставленным без изменения постановлением Девятого арбитражного апелляционного суда от 16.08.2019 и постановлением Арбитражного суда Московского округа от 02.12.2019, иск удовлетворен частично. В кассационной жалобе учреждение просит отменить судебные акты, ссылаясь на игнорирование объективных обстоятельств неисполнения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основания для уменьшения ответственности за ненадлежащее исполнение обязательства либо освобождающие от такой ответственности, устанавливаются судами, рассматривающими дело по правилам для суда первой инстанции. В пределах данного дела заявленные учреждением обстоятельства, повлекшие нарушение срока поставки, обсуждены и оценены судами первой и апелляционной инстанций и их выводы не подлежат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1 Управления Федеральной службы исполнения наказаний по Владимирской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