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03.06.2019, оставленным без изменения постановлением Семнадцатого арбитражного апелляционного суда от 04.09.2019 и постановлением Арбитражного суда Уральского округа от 05.12.2019, иск удовлетворен. В кассационной жалобе компания просит о пересмотре судебных актов, ссылаясь на игнорирование отсутствия ее вины в простое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взыскиваемого штрафа и нарушение компанией согласованного срока выгрузки вагонов, за которое применяется штраф, поэтому удовлетворили иск в соответствии с договором от 13.02.2018 № 752-ПВ-18 и статьями 309 , 310 , 330 , 779 Гражданского кодекса Российской Федерации. Отличная от судебной оценка правоотношений в связи с оборотом вагонов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«Самарская торговая компания «Строй-Гранит»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"ТРАНССИБУРАЛ" (подробнее) Ответчики: ООО "САМАРСКАЯ ТОРГОВАЯ КОМПАНИЯ "СТРОЙ-ГРАНИТ"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