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18.07.2019, оставленным без изменения постановлением Девятого арбитражного апелляционного суда от 04.10.2019, в удовлетворении иска отказано. Арбитражный суд Московского округа постановлением от 19.12.2019 решение от 18.07.2019 и постановление Девятого арбитражного апелляционного суда от 04.10.2019 оставил без изменения. В кассационной жалобе общество «Светол Инвест» просит об отмене судебных актов, ссылаясь на нарушение в применении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условий для взыскания спорной суммы по правилу статьи 1102 Гражданского кодекса Российской Федерации, поскольку признание незаключенным кредитного договора от 28.11.2012 № 442, задолженность по которому передана истцу по договору цессии от 17.05.2013 № 442/Ц-2, влечет в силу статьи 390 Гражданского кодекса Российской Федерации ответственность цедента, но не недействительность обязательства, на основании которого передано право. Вопрос о применении исковой давности разрешен судами в соответствии со статьями 196 , 199 , 200 Гражданского кодекса Российской Федерации. Иная оценка заявителем характера правоотношений сторон, а также допустимости доказательств не образует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«Светол 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"Светол Инвест" (подробнее) Ответчики: ООО "Торговый дом "Цемент" (подробнее) Судьи дела: Ксенофонтова 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