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01.07.2019, оставленным без изменения постановлением Девятнадцатого арбитражного апелляционного суда от 13.09.2019 и постановлением Арбитражного суда Центрального округа от 05.12.2019, в удовлетворении заявления отказано в связи с отсутствием у заявленного обстоятельства критерия существенности для дела. В кассационной жалобе заявитель просит о пересмотре судебных актов, принятых по заявлению о вновь открывшихся обстоятельствах, ссылаясь на ненадлежащую оценку приведенного им в обоснование заявления обстоятельства.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Согласно части 2 статьи 311 Арбитражного процессуального кодекса Российской Федерации основанием для пересмотра судебных актов по вновь открывшимся обстоятельствам являются в том числе существенные для дела обстоятельства, которые хотя и существовали к моменту принятия решения по делу, но не были и не могли быть известны заявителю. Названное заявителем обстоятельство правомерно не признано существенным для дела, поскольку озвученная в судебном заседании представителями участвующих в деле лиц позиция была известна суду и учитывалась при разрешении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Чепаускасу Юрию Иозавичу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