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23.07.2019, оставленным без изменения постановлениями Одиннадцатого арбитражного апелляционного суда от 18.10.2019 и Арбитражного суда Поволжского округа от 21.01.2020, требования, объединенные в одно производство, удовлетворены. В жалобе антимонопольный орган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 ФИО2, ФИО3, ФИО4 на результаты торгов от 22.10.2018 по продаже в собственность и на право заключения договоров аренды земельных участков, государственная собственность на которые не разграничена, с указанием на то, что на данных земельных участках ведутся строительные работы, антимонопольным органом принято решение. Управлением учреждение признано нарушившим требования пункта 8 части 8 статьи 39.11 Земельного кодекса Российской Федерации (далее – Земельный кодекс), части 1 статьи 17 Федерального закона от 26.07.2006 № 135-ФЗ «О защите конкуренции» (далее - Закон о защите конкуренции) в части нарушения процедуры и порядка организации и проведения торгов, выставления на реализацию земельных участков, находящихся в пользовании, и на которых ведутся строительные работы до проведения аукциона и заключения договора по результатам торгов; требования пункта 3 части 21 статьи 39.11 Земельного кодекса в части нарушения процедуры и порядка организации и проведения торгов, неустановления в извещении о проведении аукциона процедуры проведения аукциона, в соответствии с которой определяется, каким образом будет проходить объявление предложения о цене участников и порядок определения победителя. Выдано предписание об устранении выявленных нарушений действующего законодательства. Считая ненормативные акты антимонопольного органа незаконными, учреждение и ФИО1 обратились в арбитражный суд. Удовлетворяя заявленные требования,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Земельного кодекса, Закона о защите конкуренции, пришли к выводу о наличии оснований для признания ненормативных актов управления незаконными. Судебные инстанции исходили из того, что антимонопольным органом при рассмотрении жалоб не были установлены нарушения процедуры проведения торгов, в связи с чем правовые основания для вынесения оспариваемых решения и предписания, которыми по существу результаты торгов были признаны недействительными, отсутствовали. При этом суды установили, что конкурентная форма торгов была соблюдена, для участия на торгах заявилось несколько участников, которые были допущены к участию на аукционе; на момент проведения торгов на спорных земельных участках отсутствовали какие либо строения, наличие которых препятствовало реализации земельных участков на торгах, доказательств того, что строительные работы велись на земельных участках во время проведения аукциона в материалы дела не представлено. Доводы антимонопольного органа, изложенные в кассационной жалобе, являлись предметом рассмотрения судов и получили надлежащую правовую оценку, сводятся к несогласию с выводами судов по фактическим обстоятельствам дела. Обстоятельства данного спора и представленные доказательства были предметом рассмотрения и оценки судов. Несогласие заявителя с такой оценкой и иное толкование положений закона не является достаточным основанием для пересмотра судебных актов в кассационном порядке. При рассмотрении дела в порядке кассационного производства Верховный Суд Российской Федерации не вправе устанавливать или считать доказанными обстоятельства, которые не были установлены либо были отвергнуты судом, либо предрешать вопросы о достоверности или недостоверности того или иного доказательства, преимуществе одних доказательств перед другими. Существенных нарушений норм материального и процессуального права, повлиявших на исход дела, указанные в жалобе доводы не подтверждают.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Муниципальное казенное учреждение "Палата земельных и имущественных отношений Высокогорского муниципального района Республики Татарстан", Высокогорский район, ст.Высокая Гора (подробнее) Ответчики: Управление Федеральной антимонопольной службы по Республике Татарстан, г.Казань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