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Сачев И.М. обратился в суд с заявлением о признании недействительной сделкой перечисление должником в пользу Катыгиной В.В. денежных средств в размере 618 000 рублей, и о применении последствий недействительности сделки в виде взыскания с ответчика в конкурсную массу должника указанной суммы. Определением Арбитражного суда Свердловской области от 14.08.2019, оставленным без изменения постановлениями Семнадцатого арбитражного апелляционного суда от 31.10.2019 и Арбитражного суда Уральского округа от 04.02.2020, требования удовлетворены. Не согласившись с названными судебными актами, Катыгина В.В. обратилась в Верховный Суд Российской Федерации с кассационной жалобой,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банкротства, а так же приводит довод о том, что приостановление исполнения указанных судебных актов не повлияет на баланс интересов участвующих в настоящем деле лиц.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Катыгиной Вероники Владимировны о приостановлении исполнения определения Арбитражного суда Свердловской области от 14.08.2019 по делу № А60-13517/2018, оставленным без изменения постановлением Семнадцатого арбитражного апелляционного суда от 31.10.2019 и постановлением Арбитражного суда Уральского округа от 04.02.2020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