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и процентов за пользование чужими денежными средствами в размере 107 266 131 рублей. Определением Арбитражного суда Свердловской области от 13.05.2019, оставленным без изменения постановлениями Семнадцатого арбитражного апелляционного суда от 28.08.2019 и Арбитражного суда Уральского округа от 24.12.2019,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325, 363, 387 Гражданского кодекса Российской Федерации, пунктом 16 Обзора судебной практики Верховного Суда Российской Федерации № 3 (2017), утверждённого Президиумом Верховного Суда Российской Федерации 12.07.2017, исходили из совместного характера поручительства входящих в одну группу компаний с заёмщиком лиц, в связи с чем признали за заявителем право на получение соответствующего возмещения пропорционально его доле в обеспечении основного обязательства. Вместе с тем, поскольку данное право ранее реализовано заявителем, суды пришли к выводу об отсутствии оснований для удовлетворения заявленного им требования.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«Эссет Менеджмент»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