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15.02.2019 взыскано 1 168 676 рублей 25 копеек неосновательного обогащения. Девятый арбитражный апелляционный суд постановлением от 24.06.2019 изменил решение от 15.02.2019 и отказал во взыскании суммы неосновательного обогащения. Арбитражный суд Московского округа постановлением от 11.12.2019 постановление Девятого арбитражного апелляционного суда от 24.06.2019 оставил без изменения. В кассационной жалобе компания «Арсеналъ» просит об отмене постановлений апелляционного и окружного судов, ссылаясь на неправильное применение закона.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Контракт от 12.09.2016 № 31/29ГК заключен после изменения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 и должен соответствовать этому Закону в соответствующей периоду совершения контракта редакции. Страховая выплата в связи с наступившим в рамках контракта от 12.09.2016 № 31/29ГК страховым случаем произведена обществом компанией «Арсеналъ» в соответствии с названным Законом и условиями контракта и не может быть переложена на другое лицо, на что правильно указали апелляционный и окружной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