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Ямало-Ненецкого автономного округа от 18.06.2019, оставленным без изменения постановлением Восьмого арбитражного апелляционного суда от 30.09.2019 и постановлением Арбитражного суда Западно-Сибирского округа от 10.01.2020, иск удовлетворен. В кассационной жалобе, поданной в Верховный Суд Российской Федерации, общество, ссылаясь на несоответствие выводов судов фактическим обстоятельствам дела,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401 , 708 , 716 , 740 , 753 , 763 Гражданского кодекса Российской Федерации, суды первой и апелляционной инстанций, с которыми впоследствии согласился суд округа, пришли к выводу об обоснованности иска, исходя из доказанности факта нарушения ответчиком срока выполнения работ и отсутствия оснований для освобождения его от ответственности за допущенное нарушение. Доводы кассационной жалобы были предметом рассмотрения судов и получили правовую оценку, не подтверждают существенных нарушений судами норм материального и процессуального права, повлиявших на исход дела, а по существу сводятся к несогласию заявителя с оценкой доказательств, данной судами, и установленными фактическими обстоятельствами дела. Учитывая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«СтройСервис»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Муниципальное казённое учреждение "Управление коммунального заказа" (подробнее) Ответчики: ООО "Стройсервис" (подробнее) Иные лица: Инспекция Федеральной налоговой службы по городу Тюмени №3 (подробнее) Судьи дела: Чучунова Н.С. (судья) (подробнее) Судебная практика по: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