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общества с ограниченной ответственностью «АльтГрупп» и «Трейд-МК» обратились в суд с заявлениями, объединенными в одно производство для совместного рассмотрения, в которых просили включить в реестр требований кредиторов должника свои требования в размере 233 608 177 рублей 75 копеек и 281 453 902 рубля 94 копейки. Банк также обратился в суд с заявлением о включении в реестр своего требования в размере 214 496 859 рублей 18 копеек, объединённым в одно производство для совместного рассмотрения с заявлениями указанных обществ. Определением Арбитражного суда Республики Татарстан от 04.03.2019, оставленным без изменения постановлениями Одиннадцатого арбитражного апелляционного суда от 26.08.2019 и Арбитражного суда Поволжского округа от 30.10.2019, принят отказ общества «АльтГрупп» от заявленного требования, производство в указанной части прекращено; в удовлетворении требований общества «Трейд-МК» и банка отказано.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своих требований и направить спор в данной части на новое рассмотрение. 2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27.02.2020 материалы дела истребованы из Арбитражного суда Республики Татарстан. При изучении доводов кассационной жалобы по материалам истребованного дела, поступившего в Верховный Суд Российской Федерации 18.03.2020,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в 2013 году между банком и обществом с ограниченной ответственностью «Доминатус» (первоначальный должник, общество «Доминатус») заключено пять кредитных договоров (невозобновляемые кредитные линии с лимитом выдачи). 27.05.2014 между банком и обществами «Доминатус» и «Союзшахтоосушение» заключено соглашение о переводе долга по вышеуказанным сделкам, согласно которому последний в полном объёме принял на себя обязательства первоначального должника по возврату выданных кредитов. В качестве встречного предоставления за принятие долга общество «Доминатус» обязалось в срок до 28.05.2014 уступить обществу «Союзшахтоосушение» право требования на получение денежных средств за выполненные работы по договору подряда от 20.01.2014 № 3-14-ПД с третьим лицом – обществом с ограниченной ответственностью «Интеллект Строй». Общество «Доминатус» прекратило свою деятельность 11.05.2016, а общество «Интеллект Строй» - 21.03.2018, о чём в Единый государственный реестр юридических лиц внесены соответствующие записи. Разрешая спор о включении требований банка в реестр требований кредиторов должника в обжалуемой части, суды, руководствуясь статьями 10, 170, 391, 421, 423, 575 Гражданского кодекса Российской Федерации, статьями 71, 100 Федерального закона от 26.10.2002 № 127-ФЗ «О несостоятельности (банкротстве)», установив, что перевод долга осуществлён безвозмездно, никакой уступки права требования за него не произошло, пришли к выводу о том, что сделка по переводу долга была лишена для общества «Союзшахтоосушение» экономического смысла, поэтому требования банка не могут быть признаны обоснованными. Выражая несогласие с обжалуемыми судебными актами, заявитель настаивает на ошибочности содержащихся в них выводов. 3 По сути, доводы заявителя кассационной жалобы сводятся к тому, что новый должник не вправе противопоставлять требованию кредитора об исполнении обязательства возражения о том, что он не получил встречное предоставление от первоначального должника за перевод долга. Банк указывает на надлежащее исполнение обязательств по выдаче кредитов, отсутствии аффилированности с первоначальным и новым должниками (директором обоих обществ являлось одно лицо – Зайнуллин Р.М.), заключении соглашения о переводе долга за четыре года до банкротства должника (заявление принято 08.02.2018, а процедура наблюдения введена 05.03.2018).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акционерным обществом Коммерческий банк «РосинтерБанк» государственной корпорации «Агентство по страхованию вкладов»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18 мая 2020 года на 10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