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апреля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рассмотрение кассационной жалобы назначено в судебном заседании на 20 апреля 2020 года на 11 часов 00 минут в помещении суда по адресу: Москва, улица Поварская, дом 15, зал № 3048 (подъезд 5). В связи с принятием совместного постановления Президиума Верховного Суда Российской Федерации и Президиума Совета судей Российской Федерации от 08.04.2020, учитывая, что дело уже назначено к рассмотрению в судебном заседании и оно не относится к числу споров безотлагательного характера, следует изменить время судебного разбирательства. Руководствуясь статьей 184 Арбитражного процессуального кодекса Российской Федерации, председатель судебного состава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перенести время рассмотрения кассационной жалобы закрытого акционерного общества «Группа компаний «Электрощит» – ТМ Самара» на постановление Арбитражного суда Дальневосточного округа от 22.10.2019 по делу № А59-2230/2015 Арбитражного суда Сахалинской области в судебном заседании Судебной коллегии по экономическим спорам Верховного Суда Российской Федерации на 21 мая 2020 года на 15 часов 30 минут. Судебное заседание состоится в помещении суда по адресу: Москва, улица Поварская, дом 15, зал № 3048 (подъезд 5).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