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06.09.2017 исковые требования удовлетворены частично, с компании в пользу общества взыскано 66 405 042 руб. задолженности, 5 000 000 руб. пеней. Постановлением Тринадцатого арбитражного апелляционного суда от 23.11.2019 принят отказ общества от исковых требований в части взыскания 30 984 408 руб. задолженности, 22 062 287 руб. пеней, решение суда первой инстанции отменено, производство по делу в указанной части прекращено, в удовлетворении остальной части исковых требований отказано.Постановлением Арбитражного суда Северо-Западного округа от 20.02.2020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несоответствие выводов апелляционного и окружного судов фактическим обстоятельствам дела, просит отменить их судебные акты в части отказа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702 , 740 Гражданского кодекса Российской Федерации, суд апелляционной инстанции пришел к выводу об отсутствии оснований для удовлетворения исковых требований, исходя из недоказанности обществом факта надлежащего выполнения им работ на спорную сумму и передачи их результата компании. С указанными выводами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«Экобилдинг»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"Экобилдинг" (подробнее) Ответчики: ООО "СКМСТРОЙГРУПП" (подробнее) Иные лица: а/у Барыкина Лариса Армиловна (подробнее) ООО "АС - СТРОЙ" (подробнее) ООО "ЯНТАРЬСЕРВИСБАЛТИК"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