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19.07.2019, оставленным без изменения постановлением Девятого арбитражного апелляционного суда от 22.11.2019, заявленные требования удовлетворены. Постановлением Арбитражного суда Московского округа от 03.02.2020 указанные судебные акты отменены, дело направлено на новое рассмотрение в суд первой инстанции. Общество в кассационной жалобе просит постановление суд округа отменить, считая его незаконным и необоснованным. При изучении доводов жалобы и принятых по делу судебных актов оснований для удовлетворения жалобы не установлено. Суд округа отменил судебные акты судов первой и апелляционной инстанций и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исходил из того, что выводы судов о том, что общество не является субъектом правонарушения, сделаны на основании неполного исследования представленных в материалы дела доказательств и без установления всех имеющих существенное значение для правильного рассмотрения спора обстоятельств, в том числе исходя из осуществляемой обществом деятельности по договорам оказания услуг по подходу к причалам и посадке-высадке пассажиров; выводов судов в отношении каждого пункта оспариваемого предписания в судебных актах не приведены.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невозможна, в том числе,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спора,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Государственное бюджетное учреждение города Москвы по эксплуатации и ремонту инженерных сооружений "Гормост" (подробнее) Ответчики: Центральное управление государственного речного надзора Федеральной службы по надзору в сфере транспорта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