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Федерального</w:t>
      </w:r>
    </w:p>
    <w:p>
      <w:pPr>
        <w:spacing w:after="200"/>
        <w:jc w:val="center"/>
      </w:pPr>
      <w:r>
        <w:rPr>
          <w:rFonts w:ascii="Times New Roman" w:hAnsi="Times New Roman" w:eastAsia="Times New Roman" w:cs="Times New Roman"/>
          <w:b w:val="0"/>
          <w:i w:val="0"/>
          <w:sz w:val="22"/>
        </w:rPr>
        <w:t>14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11.03.2019 в удовлетворении иска отказано. Первый арбитражный апелляционный суд постановлением от 16.08.2019 изменил решение суда первой инстанции, взыскал с общества в пользу предприятия 88 328 руб. 46 коп. ущерба, 3533 руб. расходов по уплате государственной пошлины по иску, 3000 руб. расходов по уплате государственной пошлины по апелляционной жалобе. Постановлением Арбитражного суда Волго-Вятского округа от 16.01.2020 решение суда первой инстанции и постановление суда апелляционной инстанции оставлены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права, просит отменить их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положениями статей 15 , 1064 Гражданского кодекса Российской Федерации, разъяснениями, приведенными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с которым впоследствии согласился суд округа, пришел к выводу о доказанности совокупности условий, необходимых для взыскания с общества ущерба, в связи с чем удовлетворил требования предприятия в соответствующей части. Доводы кассационной жалобы не опровергают выводы судов,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доводы кассационной жалобы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«Мегаполис»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Государственное унитарное предприятие Коммунальные системы Московской области " (подробнее) Ответчики: ООО "Мегаполис" (подробнее) Федеральное казенное учреждение "Управление автомобильной магистрали Москва-Нижний Новгород Федерального дорожного агентства"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