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30.09.2019, оставленным без изменения постановлением Девятого арбитражного апелляционного суда от 04.12.2019 и постановлением Арбитражного суда Московского округа от 18.02.2020, в удовлетворении исковых требований отказано. В кассационной жалобе, поданной в Верховный Суд Российской Федерации, предприниматель, ссылаясь на нарушение судами норм права, просит отменить указанные судебные акты и направить дело на новое рассмотрение в Арбитражный суд города Москвы.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положениями статей 382 , 384 , 405 Гражданского кодекса Российской Федерации, статей 4, 6, 8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разъяснениями, приведенными в пункте 63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пункте 25 Обзора практики разрешения судами споров, возникающих в связи с участием граждан в долевом строительстве многоквартирных домов и иных объектов недвижимости, утвержденного Президиумом Верховного Суда Российской Федерации 04.12.2013, установив, что на момент заключения договора цессии у участника долевого строительства отсутствовало право на взыскание неустойки, просрочка передачи объекта долевого строительства возникла не по вине ответчика, пришли к выводу об отсутствии оснований для удовлетворения исковых требований. С указанными выводами впоследствии согласился суд округа.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Ответчики: ООО "Строй Вест"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