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22.05.2019 в удовлетворении заявленных требований отказано. Постановлением Девятого арбитражного апелляционного суда от 09.09.2019 решение суда первой инстанции изменено, признан недействительным пункт 3.1 приказа по статьям затрат: «другие затраты, относимые на себестоимость продукции» (в части затрат на юридические 2 услуги, ведение бухгалтерского и налогового учета) на 2016-2017 годы; затраты по договорам с обществом с ограниченной ответственностью «УФС» (далее – ООО «УФС») (ведение бухгалтерского учета) в сумме 32 915 000 рублей (на 2016 год), в размере 41 961 890 рублей (на 2017 год), с обществом с ограниченной ответственностью «КЭС-Трейдинг» (далее – ООО «КЭС-Трейдинг») (услуги по прогнозированию цен и объемов э/э (мощности) на ОРЭМ) в размере 145 526 000 рублей (2016 год), в размере 159 336 050 рублей (2017 год); «выпадающие доходы» за 2014 год в размере 2 293 840 рублей; «услуги аутсорсинга - ООО «УФС» (ведение бухгалтерского учета), 120 374 000 рублей - услуги ООО «КЭСТрейдинг»; «выпадающие доходы» за 2015 год – в части юридических услуг, услуг аутсорсинга – ООО «УФС» (ведение бухгалтерского учета); «резерв по сомнительным долгам» за 2014 год в размере 281 175 340 рублей. В остальной части решение суда первой инстанции оставлено без изменения. Арбитражный суд Московского округа постановлением от 25.12.2019 постановление суда апелляционной инстанции оставил без изменения. В кассационных жалобах, поданных в Верховный Суд Российской Федерации, ссылаясь на существенные нарушения норм права, несоответствие выводов судов фактическим обстоятельствам дела, комиссия просит отменить принятые по делу судебные акты, ФАС России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Суд первой инстанции, указав на отсутствие оснований для признания ненормативного акта недействительным, пришел к выводу о законности оспариваемого приказа, изданного ФАС России, в рамках предоставленных ей полномочий. Изменяя решение суда, суд апелляционной инстанции, согласившись с судом первой инстанции в части выводов о правомерности исключения антимонопольным органом из состава необходимой валовой выручки (далее – НВВ) при определении обществу как гарантирующему поставщику электрической энергии сбытовых надбавок на территории Свердловской 3 области на 2018 год расходов на рекламу, информацию в средствах массовой информации и страхование, указал на необоснованность выводов суда в части исключения ФАС России из состава НВВ затрат и расходов на юридические услуги, ведение бухгалтерского и налогового учета, услуги по прогнозированию цен и объемов э/э (мощности) на ОРЭМ, а также средств на создание резерва по сомнительным долгам за 2014 год, с чем согласился суд округа. При этом судебные инстанции пришли к выводу о том, что ненормативный акт был издан ФАС России законно и обоснованно, в связи с выявленным фактом превышения комиссией полномочий, выразившегося в нарушении положений Основ ценообразования в области регулируемых цен (тарифов) в электроэнергетике, утвержденных постановлением Правительства Российской Федерации от 29.12.2011 № 1178, Правил государственного регулирования (пересмотра, применения) цен (тарифов) в электроэнергетике, утвержденных постановлением Правительства Российской Федерации от 29.12.2011 № 1178, Методических указаний по расчету сбытовых надбавок гарантирующих поставщиков и размера доходности продаж гарантирующих поставщиков, утвержденных приказом Федеральной службы по тарифам от 30.10.2012 № 703-э, Методических указаний по расчету сбытовых надбавок гарантирующих поставщиков с использованием метода сравнения аналогов, утвержденных приказом Федеральной антимонопольной службы от 21.11.2017 № 1554/17 Обстоятельства данного спора и представленные доказательства были предметом рассмотрения и оценки судов. Доводы заявителей, изложенные в кассационных жалобах, являлись предметом рассмотрения судов и получили надлежащую правовую оценку с учетом установленных обстоятельств дела, повторяют правовую позицию комиссии и антимонопольного органа по спору, направлены на переоценку установленных обстоятельств дела и представленных в материалы дела доказательств, не подтверждают существенные нарушения норм материального и (или) процессуального права, которые могли повлиять на исход дела и не являются достаточным основанием для пересмотра обжалуемых судебных актов в кассационном порядке. Руководствуясь статьями 291.1,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и Федеральной антимонопольной службе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