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компании «Оушена Голд Лимитед» срок подачи кассационной жалобы на решение Арбитражного суда города Москвы от 28.02.2019 по делу № А40-256449/2017, постановление Девятого арбитражного апелляционного суда от 05.06.2019 и постановление Арбитражного суда Московского округа от 18.10.2019 по тому же делу. Судья Верховного Суда Российской Федерации Н.А. Ксенофонтова Суд: Верховный Суд РФ (подробнее) Истцы: ГК "АСВ" (подробнее) Оушена Голд Лимитед (для Крыжановой Н.О.) (подробнее) Ответчики: АО АКБ "ПЕРЕСВЕТ" (подробнее) Судьи дела: Ксенофонтова Н.А. (судья) (подробнее) Последние документы по делу: Определение от 14 апреля 2020 г. по делу № А40-256449/2017 Определение от 3 февраля 2020 г. по делу № А40-256449/2017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