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24.05.2019, оставленным без изменения постановлениями Девятого арбитражного апелляционного суда от 29.08.2019 и Арбитражного суда Московского округа от 26.12.2019,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ФАС России проведена плановая выездная проверка в отношении министерства, в ходе которой выявлены нарушения законодательства в области государственного регулирования цен (тарифов) в сфере электроэнергетики при установлении тарифов для общества. Предписанием антимонопольного органа на министерство возложена обязанность устранить допущенные нарушения действующего законодательства, согласно которому в отношении двенадцати статей затрат необходимой валовой выручки (далее - НВВ) общества предписано провести дополнительный экономический анализ, в отношении трех статей - исключить необоснованно включенные расходы. Основанием для принятия указанного предписания послужили выводы ФАС России о нарушении министерством положений пунктов 7, 29, 38 Основ ценообразования в области регулируемых цен (тарифов) в электроэнергетике, утвержденных Постановлением Правительства Российской Федерации от 29.12.2011 № 1178, пунктов 23, 26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№ 1178, Методических указаний по расчету тарифов на услуги по передаче электрической энергии, устанавливаемые с применением метода долгосрочной индексации необходимой валовой выручки, утвержденных приказом ФСТ России от 17.02.2012 № 98-э.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пришли к выводу о том, что оспариваемое предписание принято ФАС России законно, в рамках предоставленных ей полномочий. При этом судебные инстанции исходили из того, что экспертное заключение министерства не содержит анализа экономической обоснованности затрат общества со ссылкой на материалы и документы, на основании которых был принят размер учитываемых расходов в необходимой валовой выручке регулируемой организации. Так, суды в отношении статьи затрат «Плата за аренду имущества и лизинг» установили, что документы, позволяющие определить такие расходы и произведенные в их подтверждение расчеты, отсутствуют, в материалы дела не представлены; расходы по статье затрат «Резерв по сомнительным долгам» необоснованы; экспертное заключение не содержит анализа экономической обоснованности фактических затрат, первичной и бухгалтерской документации общества, а также плановых расходов по статье «Подконтрольные расходы из прибыли»; принятые по статье затрат «Расшифровка прочих расходов из прибыли» расходы общества не относятся на регулируемый вид деятельности (например, расходы на спортивные и культурные мероприятия). Суды отметили, что в НВВ регулируемой организации могут быть включены только те расходы, которые относятся на регулируемый вид деятельности и необходимы для его осуществления. Доводы общества, изложенные в кассационной жалобе, являлись предметом рассмотрения судов и получили надлежащую правовую оценку, основаны на ошибочном толковании норм права, сводятся к несогласию с выводами судов,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передачи жалобы на рассмотрение в судебном заседании Судебной коллегии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«Межрегиональная распределительная сетевая компания Волги» в лице филиала - «Самарские распределительные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"Межрегиональная распределительная сетевая компания Волги"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