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08.07.2019, оставленным без изменения постановлением Девятого арбитражного апелляционного суда от 12.09.2019, иск удовлетворен. Арбитражный суд Московского округа постановлением от 10.12.2019 решение от 08.07.2019 и постановление Девятого арбитражного апелляционного суда от 12.09.2019 оставил без изменения. В кассационной жалобе банк просит об отмене судебных актов как противоречащих судебной практике о необходимом формальном соответствии требования о платеже условиям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требованию о платеже по банковской гарантии от 25.04.2018 № БГ-198641/2018 служба приложила документы, необходимые в частности в подтверждение полномочий подписавшего требование лица по условиям гарантии, что в силу статей 375 и 376 Гражданского кодекса Российской Федерации не позволяло банку отказать в совершении платежа. Требуемое банком подтверждение полномочий службы формально не соответствует содержанию рассматриваемой гарантии и не влечет незаконности требования о платеже.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«Держава»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Служба капитального строительства Республики Крым (подробнее) Ответчики: ПАО "АКЦИОНЕРНЫЙ КОММЕРЧЕСКИЙ БАНК "ДЕРЖАВА" 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