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26.06.2019, оставленным без изменения постановлением Семнадцатого арбитражного апелляционного суда от 30.09.2019 и постановлением Арбитражного суда Уральского округа от 20.01.2020,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 (подрядчик) обратилась в арбитражный суд с иском по настоящему делу, ссылаясь на наличие у общества (заказчика) задолженности за работы, выполненные подрядчиком в рамках договора подряда от 18.10.2018 № 18/10/2018 (с учетом проведенного зачета и частичной оплаты).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410 , 702 , 711 , 720 , 753 Гражданского кодекса Российской Федерации, установив факт выполнения компанией работ, принятия их результата обществом и отсутствие доказательств, обосновывающих отказ от оплаты работ,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«КаскадСтрой»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"МиР" (подробнее) Ответчики: ООО "Каскадстрой"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