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31.07.2019, оставленным без изменения постановлениями Второго арбитражного апелляционного суда от 31.10.2019 и Арбитражного суда Волго-Вятского округа от 14.02.2020, заявленные требования удовлетворены частично, признаны недействительными решение и предписание антимонопольного органа в части выводов о наличии в действиях детского сада нарушений пункта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необходимости устранения таких нарушений. В удовлетворении остальной части заявленных требований отказано. В кассационной жалобе общество ставит вопрос об отмене принятых по делу судебных актов в части отказа в удовлетворении требований,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«Монолитстроймонтаж» на действия детского сада (заказчик) при проведении электронного аукциона на право заключения контракта по капитальному ремонту здания детского сада, антимонопольным органом принято решение. Управлением жалоба общества признана частично обоснованной, в действиях заказчика установлено нарушение пункта 2 части 3 статьи 21, пунктов 1, 2 части 1, части 2 статьи 33, части 8 статьи 34, пункта 8 статьи 42, части 5 статьи 63, пунктов 1, 2 части 1 статьи 64 Закона о контрактной системе. Предписанием управления на детский сад возложена обязанность по устранению нарушения законодательства о контрактной системе. Не согласившись с ненормативными актами антимонопольного органа, общество обратилась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контрактной системе, суды признали правомерным вывод антимонопольного органа о нарушении заказчиком требований пунктов 1, 2 части 1, части 2 статьи 33 и пункта 1 части 1 статьи 64 Закона о контрактной системе. Судебные инстанции исходили из того, что в извещении о проведении спорного электронного аукциона в разделе «Порядок предоставления обеспечения исполнения контракта, требования к обеспечению, информация о банковском сопровождении контракта» указана формулировка «в соответствии с документацией» в отсутствие ссылки на конкретные пункты (разделы) аукционной документации, не соответствующая требованиям Закона о контрактной системе. Установлено, что при описании объекта закупки заказчиком была использована терминология, не предусмотренная документами, разрабатываемыми и принимаемыми в национальной системе стандартизации, принятыми в соответствии с законодательством Российской Федерации о стандартизации, без обоснования в аукционной документации необходимости использования других условных обозначений и терминологии, отличных от установленных действующим ГОСТ. Заказчиком при указании в документации об аукционе на товарный знак (Нортекс), не были определены параметры эквивалентности, не представлено обоснование невозможности использования товаров с иными товарными знаками и несовместимости товаров, имеющихся у заказчика, с товарами иных товарных знаков, отличных от указанных в документации о закупке.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«Ивановское региональное агентство конкурсов и аукционов»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ЗАО "Ивановское региональное агентство конкурсов и аукционов" (подробнее) Ответчики: Управление Федеральной антимонопольной службы по Ивановской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