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30.05.2019 в удовлетворении иска отказано. Семнадцатый арбитражный апелляционный суд постановлением от 04.09.2019 отменил решение от 30.05.2019 и удовлетворил иск. Арбитражный суд Уральского округа постановлением от 12.12.2019 постановление Семнадцатого арбитражного апелляционного суда от 04.09.2019 оставил без изменения. В кассационной жалобе банк просит об отмене судебных актов апелляционного и окружного судов, ссылаясь на несоответствие выводов судов фактическим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повторно рассмотревший дело, установил, что действия клиента по закрытию счета соответствуют статье 859 Гражданского кодекса Российской Федерации. Удержанная за перевод после закрытия счета находившихся на нем денежных средств по указанному клиентом назначению комиссия признана не предусмотренной договором банковского счета, поэтому взыскана в соответствии со статьей 1102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