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18.04.2019, оставленным без изменения постановлением Восемнадцатого арбитражного апелляционного суда от 04.07.2019, иск удовлетворен. Арбитражный суд Уральского округа постановлением от 02.12.2019 решение от 18.04.2019 и постановление Восемнадцатого арбитражного апелляционного суда от 04.07.2019 оставил без изменения. В кассационной жалобе общество «ВСК» просит об отмене судебных актов, ссылаясь на незаконную оценку представленных сторонами экспертных заключений и неосновательное взыскание расходов на услуги представителя.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приняли представленное истцом экспертное заключение, установив его соответствие Федеральному закону от 25.04.2002 № 40-ФЗ «Об обязательном страховании гражданской ответственности владельцев транспортных средств» и Единой методике определения размера расходов на восстановительный ремонт. Оценка доказательств относится к компетенции судов первой и апелляционной инстанций и не пересматривается на стадии кассационного производства. В отношении расходов на оплату услуг представителя суды правомерно руководствовались статьями 101 , 106 , пунктом 2 статьи 110 Арбитражного процессуального кодекса Российской Федерации и их толкованием.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