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05.07.2019 в редакции определения об исправлении опечатки от 05.07.2019, оставленным без изменения постановлением Девятнадцатого арбитражного апелляционного суда от 15.08.2019 и постановлением Арбитражного суда Центрального округа от 21.11.2019, договор расторгнут, с учетом произведенного зачета взысканных сумм с предпринимателя в пользу товарищества взыскано 25 500 рублей задолженности, 4 911 рублей процентов за пользование чужими денежными средствами, 40 112 рублей судебных расходов. В кассационной жалобе предприниматель просит отменить судебные акты, ссылаясь на неправильную квалификацию договора, игнорирование несоблюдения досудебного порядка урегулирования спора и недобросовестного поведения товарищества.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договором от 12.09.2014 № 03/14 согласовано право товарищества на отказ от исполнения при условии оплаты фактически оказанных услуг. Реализация товариществом такого права посредством предъявления данного иска правомерно признана соответствующей договору и статьям 450.1 , 782 Гражданского кодекса Российской Федерации. Вопросы досудебного порядка урегулирования спора и обоснованности судебных расходов не составляют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