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01.07.2019, оставленным без изменения постановлением Девятого арбитражного апелляционного суда от 23.09.2019 и постановлением Арбитражного суда Московского округа от 20.12.2019,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313 , 1102 Гражданского кодекса Российской Федерации, суды первой и апелляционной инстанций пришли к выводу о недоказанности факта неосновательного обогащения на стороне ответчика, в связи с чем отказали в удовлетворении исковых требований. При этом суды исходили из установленных обстоятельств совершения обществом платежей компании в порядке статьи 313 Гражданского кодекса Российской Федерации в счет уплаты арендных платежей по договору субаренды за ФИО1 С указанными выводами впоследствии согласился суд округа.Доводы кассационной жалобы не опровергают выводы судов, не подтверждают существенных нарушений судами норм материального права и процессуального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«ЛИТБАТТЕРИ»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